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3AAE2458" w:rsidR="00FB3B61" w:rsidRPr="00901033" w:rsidRDefault="00EE7689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72C640BA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380B328" w14:textId="77777777" w:rsidR="00EE7689" w:rsidRPr="00AD40B9" w:rsidRDefault="00EE7689" w:rsidP="00EE7689">
            <w:pPr>
              <w:ind w:left="567"/>
              <w:rPr>
                <w:b/>
                <w:color w:val="0191B2"/>
                <w:sz w:val="22"/>
                <w:szCs w:val="22"/>
              </w:rPr>
            </w:pPr>
            <w:r w:rsidRPr="00AD40B9">
              <w:rPr>
                <w:b/>
                <w:color w:val="0191B2"/>
                <w:sz w:val="22"/>
                <w:szCs w:val="22"/>
              </w:rPr>
              <w:t xml:space="preserve">Participación en misión comercial en el marco del </w:t>
            </w:r>
          </w:p>
          <w:p w14:paraId="0B65F75A" w14:textId="77777777" w:rsidR="00EE7689" w:rsidRPr="00901033" w:rsidRDefault="00EE7689" w:rsidP="00EE7689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AD40B9">
              <w:rPr>
                <w:b/>
                <w:color w:val="0191B2"/>
                <w:sz w:val="22"/>
                <w:szCs w:val="22"/>
              </w:rPr>
              <w:t>XII encuentro empresarial binacional Chile-Perú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Arica, Chile</w:t>
            </w:r>
          </w:p>
          <w:p w14:paraId="45B35EB5" w14:textId="61CEE7CC" w:rsidR="00FB3B61" w:rsidRPr="00AE1CAE" w:rsidRDefault="00EE7689" w:rsidP="00EE7689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7 y 8 de noviembre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60A6C531" w:rsidR="00435538" w:rsidRDefault="00EE7689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4099A048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E7689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MARIBEL ORTIZ</cp:lastModifiedBy>
  <cp:revision>2</cp:revision>
  <cp:lastPrinted>2016-08-18T17:56:00Z</cp:lastPrinted>
  <dcterms:created xsi:type="dcterms:W3CDTF">2022-10-24T19:36:00Z</dcterms:created>
  <dcterms:modified xsi:type="dcterms:W3CDTF">2022-10-24T19:36:00Z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